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C8025B">
        <w:rPr>
          <w:rFonts w:eastAsia="宋体"/>
          <w:lang w:eastAsia="zh-CN"/>
        </w:rPr>
        <w:t>-</w:t>
      </w:r>
      <w:r w:rsidR="005F5EFB">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B21109" w:rsidRPr="00B21109">
        <w:t>R4-2305566</w:t>
      </w:r>
    </w:p>
    <w:p w:rsidR="00675C27" w:rsidRPr="00444A16" w:rsidRDefault="005F5EFB" w:rsidP="006272FF">
      <w:pPr>
        <w:pStyle w:val="a1"/>
        <w:jc w:val="both"/>
        <w:rPr>
          <w:rFonts w:eastAsia="宋体"/>
          <w:lang w:eastAsia="zh-CN"/>
        </w:rPr>
      </w:pPr>
      <w:r w:rsidRPr="005F5EFB">
        <w:rPr>
          <w:rFonts w:eastAsia="宋体"/>
          <w:lang w:eastAsia="zh-CN"/>
        </w:rPr>
        <w:t>Online, April 17 - April 26,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20641" w:rsidRPr="00520641">
        <w:rPr>
          <w:rFonts w:ascii="Arial" w:hAnsi="Arial" w:cs="Arial"/>
          <w:sz w:val="22"/>
        </w:rPr>
        <w:t>On 4Rx requirements for low operating bands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21109" w:rsidRPr="00B21109">
        <w:rPr>
          <w:rFonts w:ascii="Arial" w:hAnsi="Arial" w:cs="Arial"/>
          <w:sz w:val="22"/>
        </w:rPr>
        <w:t>4.29.2</w:t>
      </w:r>
      <w:bookmarkStart w:id="2" w:name="_GoBack"/>
      <w:bookmarkEnd w:id="2"/>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003001" w:rsidRDefault="00003001" w:rsidP="006272FF">
      <w:pPr>
        <w:jc w:val="both"/>
        <w:rPr>
          <w:lang w:val="x-none"/>
        </w:rPr>
      </w:pPr>
      <w:r>
        <w:rPr>
          <w:rFonts w:hint="eastAsia"/>
          <w:lang w:val="x-none"/>
        </w:rPr>
        <w:t>T</w:t>
      </w:r>
      <w:r>
        <w:rPr>
          <w:lang w:val="x-none"/>
        </w:rPr>
        <w:t>he issues for 4Rx towards low operating bands have been discussed in last meeting. One particular issue on delta T</w:t>
      </w:r>
      <w:r w:rsidRPr="00003001">
        <w:rPr>
          <w:vertAlign w:val="subscript"/>
          <w:lang w:val="x-none"/>
        </w:rPr>
        <w:t>RXSRS</w:t>
      </w:r>
      <w:r>
        <w:rPr>
          <w:lang w:val="x-none"/>
        </w:rPr>
        <w:t xml:space="preserve"> was FFS. </w:t>
      </w:r>
    </w:p>
    <w:p w:rsidR="009A089A" w:rsidRDefault="00B9629D" w:rsidP="006272FF">
      <w:pPr>
        <w:jc w:val="both"/>
      </w:pPr>
      <w:r>
        <w:rPr>
          <w:lang w:val="x-none"/>
        </w:rPr>
        <w:t xml:space="preserve">This contribution provides </w:t>
      </w:r>
      <w:r w:rsidR="00003001">
        <w:rPr>
          <w:lang w:val="x-none"/>
        </w:rPr>
        <w:t>our consideration for</w:t>
      </w:r>
      <w:r w:rsidR="00A750D9">
        <w:rPr>
          <w:lang w:val="x-none"/>
        </w:rPr>
        <w:t xml:space="preserve"> the issue</w:t>
      </w:r>
      <w:r>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Pr="00003001" w:rsidRDefault="00003001" w:rsidP="006272FF">
      <w:pPr>
        <w:jc w:val="both"/>
        <w:rPr>
          <w:lang w:val="en-US"/>
        </w:rPr>
      </w:pPr>
      <w:r>
        <w:rPr>
          <w:rFonts w:hint="eastAsia"/>
          <w:lang w:val="en-US"/>
        </w:rPr>
        <w:t>I</w:t>
      </w:r>
      <w:r>
        <w:rPr>
          <w:lang w:val="en-US"/>
        </w:rPr>
        <w:t xml:space="preserve">n the WF, the issue for </w:t>
      </w:r>
      <w:proofErr w:type="spellStart"/>
      <w:r w:rsidRPr="00003001">
        <w:rPr>
          <w:color w:val="000000" w:themeColor="text1"/>
        </w:rPr>
        <w:t>T</w:t>
      </w:r>
      <w:r w:rsidRPr="00003001">
        <w:rPr>
          <w:color w:val="000000" w:themeColor="text1"/>
          <w:vertAlign w:val="subscript"/>
        </w:rPr>
        <w:t>RxSRS</w:t>
      </w:r>
      <w:proofErr w:type="spellEnd"/>
      <w:r>
        <w:rPr>
          <w:color w:val="000000" w:themeColor="text1"/>
          <w:vertAlign w:val="subscript"/>
        </w:rPr>
        <w:t xml:space="preserve"> </w:t>
      </w:r>
      <w:r>
        <w:rPr>
          <w:color w:val="000000" w:themeColor="text1"/>
        </w:rPr>
        <w:t>is listed as below:</w:t>
      </w:r>
    </w:p>
    <w:p w:rsidR="00003001" w:rsidRPr="00F8798A" w:rsidRDefault="00003001" w:rsidP="00003001">
      <w:pPr>
        <w:rPr>
          <w:b/>
          <w:i/>
          <w:color w:val="000000" w:themeColor="text1"/>
          <w:u w:val="single"/>
          <w:lang w:eastAsia="ko-KR"/>
        </w:rPr>
      </w:pPr>
      <w:r w:rsidRPr="00F8798A">
        <w:rPr>
          <w:b/>
          <w:i/>
          <w:color w:val="000000" w:themeColor="text1"/>
          <w:u w:val="single"/>
          <w:lang w:eastAsia="ko-KR"/>
        </w:rPr>
        <w:t xml:space="preserve">Issue 2-2-2:  </w:t>
      </w:r>
      <w:r w:rsidRPr="00F8798A">
        <w:rPr>
          <w:b/>
          <w:i/>
          <w:color w:val="000000" w:themeColor="text1"/>
          <w:u w:val="single"/>
        </w:rPr>
        <w:t xml:space="preserve">delta </w:t>
      </w:r>
      <w:proofErr w:type="spellStart"/>
      <w:r w:rsidRPr="00F8798A">
        <w:rPr>
          <w:b/>
          <w:i/>
          <w:color w:val="000000" w:themeColor="text1"/>
          <w:u w:val="single"/>
        </w:rPr>
        <w:t>T</w:t>
      </w:r>
      <w:r w:rsidRPr="00F8798A">
        <w:rPr>
          <w:b/>
          <w:i/>
          <w:color w:val="000000" w:themeColor="text1"/>
          <w:u w:val="single"/>
          <w:vertAlign w:val="subscript"/>
        </w:rPr>
        <w:t>RxSRS</w:t>
      </w:r>
      <w:proofErr w:type="spellEnd"/>
    </w:p>
    <w:p w:rsidR="00003001" w:rsidRPr="00F8798A" w:rsidRDefault="00003001" w:rsidP="00003001">
      <w:pPr>
        <w:pStyle w:val="ListParagraph"/>
        <w:widowControl/>
        <w:numPr>
          <w:ilvl w:val="0"/>
          <w:numId w:val="45"/>
        </w:numPr>
        <w:spacing w:after="120"/>
        <w:ind w:left="720" w:firstLineChars="0"/>
        <w:jc w:val="left"/>
        <w:rPr>
          <w:rFonts w:ascii="Times New Roman" w:hAnsi="Times New Roman"/>
          <w:i/>
          <w:color w:val="000000" w:themeColor="text1"/>
          <w:sz w:val="20"/>
          <w:szCs w:val="20"/>
          <w:lang w:eastAsia="zh-CN"/>
        </w:rPr>
      </w:pPr>
      <w:r w:rsidRPr="00F8798A">
        <w:rPr>
          <w:rFonts w:ascii="Times New Roman" w:hAnsi="Times New Roman"/>
          <w:i/>
          <w:color w:val="000000" w:themeColor="text1"/>
          <w:sz w:val="20"/>
          <w:szCs w:val="20"/>
          <w:lang w:eastAsia="zh-CN"/>
        </w:rPr>
        <w:t>Proposals</w:t>
      </w:r>
    </w:p>
    <w:p w:rsidR="00003001" w:rsidRPr="00F8798A" w:rsidRDefault="00003001" w:rsidP="00003001">
      <w:pPr>
        <w:pStyle w:val="ListParagraph"/>
        <w:widowControl/>
        <w:numPr>
          <w:ilvl w:val="1"/>
          <w:numId w:val="45"/>
        </w:numPr>
        <w:spacing w:after="120"/>
        <w:ind w:left="1440" w:firstLineChars="0"/>
        <w:jc w:val="left"/>
        <w:rPr>
          <w:rFonts w:ascii="Times New Roman" w:hAnsi="Times New Roman"/>
          <w:i/>
          <w:color w:val="000000" w:themeColor="text1"/>
          <w:sz w:val="20"/>
          <w:szCs w:val="20"/>
          <w:lang w:eastAsia="zh-CN"/>
        </w:rPr>
      </w:pPr>
      <w:r w:rsidRPr="00F8798A">
        <w:rPr>
          <w:rFonts w:ascii="Times New Roman" w:hAnsi="Times New Roman"/>
          <w:i/>
          <w:color w:val="000000" w:themeColor="text1"/>
          <w:sz w:val="20"/>
          <w:szCs w:val="20"/>
          <w:lang w:eastAsia="zh-CN"/>
        </w:rPr>
        <w:t xml:space="preserve">Option 1: </w:t>
      </w:r>
      <w:r w:rsidRPr="00F8798A">
        <w:rPr>
          <w:rFonts w:ascii="Times New Roman" w:hAnsi="Times New Roman"/>
          <w:i/>
          <w:color w:val="000000" w:themeColor="text1"/>
          <w:sz w:val="20"/>
          <w:szCs w:val="20"/>
        </w:rPr>
        <w:t>Doesn’t need to specify with reasons below</w:t>
      </w:r>
    </w:p>
    <w:p w:rsidR="00003001" w:rsidRPr="00F8798A" w:rsidRDefault="00003001" w:rsidP="00003001">
      <w:pPr>
        <w:pStyle w:val="ListParagraph"/>
        <w:widowControl/>
        <w:numPr>
          <w:ilvl w:val="2"/>
          <w:numId w:val="45"/>
        </w:numPr>
        <w:spacing w:after="120"/>
        <w:ind w:firstLineChars="0"/>
        <w:jc w:val="left"/>
        <w:rPr>
          <w:rFonts w:ascii="Times New Roman" w:hAnsi="Times New Roman"/>
          <w:i/>
          <w:color w:val="000000" w:themeColor="text1"/>
          <w:sz w:val="20"/>
          <w:szCs w:val="20"/>
          <w:lang w:eastAsia="zh-CN"/>
        </w:rPr>
      </w:pPr>
      <w:r w:rsidRPr="00F8798A">
        <w:rPr>
          <w:rFonts w:ascii="Times New Roman" w:hAnsi="Times New Roman"/>
          <w:i/>
          <w:color w:val="000000" w:themeColor="text1"/>
          <w:sz w:val="20"/>
          <w:szCs w:val="20"/>
        </w:rPr>
        <w:t>All the requested lower bands currently are FDD bands in the WID, and SRS antenna switching is designed for TDD bands.</w:t>
      </w:r>
    </w:p>
    <w:p w:rsidR="00003001" w:rsidRPr="00F8798A" w:rsidRDefault="00003001" w:rsidP="00003001">
      <w:pPr>
        <w:pStyle w:val="ListParagraph"/>
        <w:widowControl/>
        <w:numPr>
          <w:ilvl w:val="0"/>
          <w:numId w:val="45"/>
        </w:numPr>
        <w:spacing w:after="120"/>
        <w:ind w:left="720" w:firstLineChars="0"/>
        <w:jc w:val="left"/>
        <w:rPr>
          <w:rFonts w:ascii="Times New Roman" w:hAnsi="Times New Roman"/>
          <w:i/>
          <w:color w:val="000000" w:themeColor="text1"/>
          <w:sz w:val="20"/>
          <w:szCs w:val="20"/>
          <w:lang w:eastAsia="zh-CN"/>
        </w:rPr>
      </w:pPr>
      <w:r w:rsidRPr="00F8798A">
        <w:rPr>
          <w:rFonts w:ascii="Times New Roman" w:hAnsi="Times New Roman"/>
          <w:i/>
          <w:color w:val="000000" w:themeColor="text1"/>
          <w:sz w:val="20"/>
          <w:szCs w:val="20"/>
          <w:lang w:eastAsia="zh-CN"/>
        </w:rPr>
        <w:t>WF</w:t>
      </w:r>
    </w:p>
    <w:p w:rsidR="00003001" w:rsidRPr="00F8798A" w:rsidRDefault="00003001" w:rsidP="00003001">
      <w:pPr>
        <w:pStyle w:val="ListParagraph"/>
        <w:widowControl/>
        <w:numPr>
          <w:ilvl w:val="1"/>
          <w:numId w:val="45"/>
        </w:numPr>
        <w:spacing w:after="120"/>
        <w:ind w:left="1440" w:firstLineChars="0"/>
        <w:jc w:val="left"/>
        <w:rPr>
          <w:rFonts w:ascii="Times New Roman" w:hAnsi="Times New Roman"/>
          <w:i/>
          <w:color w:val="000000" w:themeColor="text1"/>
          <w:sz w:val="20"/>
          <w:szCs w:val="20"/>
          <w:lang w:eastAsia="zh-CN"/>
        </w:rPr>
      </w:pPr>
      <w:r w:rsidRPr="00F8798A">
        <w:rPr>
          <w:rFonts w:ascii="Times New Roman" w:hAnsi="Times New Roman"/>
          <w:i/>
          <w:color w:val="000000" w:themeColor="text1"/>
          <w:sz w:val="20"/>
          <w:szCs w:val="20"/>
        </w:rPr>
        <w:t xml:space="preserve">FFS whether specific delta </w:t>
      </w:r>
      <w:proofErr w:type="spellStart"/>
      <w:r w:rsidRPr="00F8798A">
        <w:rPr>
          <w:rFonts w:ascii="Times New Roman" w:hAnsi="Times New Roman"/>
          <w:i/>
          <w:color w:val="000000" w:themeColor="text1"/>
          <w:sz w:val="20"/>
          <w:szCs w:val="20"/>
        </w:rPr>
        <w:t>T</w:t>
      </w:r>
      <w:r w:rsidRPr="00F8798A">
        <w:rPr>
          <w:rFonts w:ascii="Times New Roman" w:hAnsi="Times New Roman"/>
          <w:i/>
          <w:color w:val="000000" w:themeColor="text1"/>
          <w:sz w:val="20"/>
          <w:szCs w:val="20"/>
          <w:vertAlign w:val="subscript"/>
        </w:rPr>
        <w:t>RxSRS</w:t>
      </w:r>
      <w:proofErr w:type="spellEnd"/>
      <w:r w:rsidRPr="00F8798A">
        <w:rPr>
          <w:rFonts w:ascii="Times New Roman" w:hAnsi="Times New Roman"/>
          <w:i/>
          <w:color w:val="000000" w:themeColor="text1"/>
          <w:sz w:val="20"/>
          <w:szCs w:val="20"/>
        </w:rPr>
        <w:t xml:space="preserve"> for FDD low bands need to be defined in this WI.</w:t>
      </w:r>
    </w:p>
    <w:p w:rsidR="005369EE" w:rsidRDefault="00003001" w:rsidP="006272FF">
      <w:pPr>
        <w:jc w:val="both"/>
        <w:rPr>
          <w:lang w:val="x-none"/>
        </w:rPr>
      </w:pPr>
      <w:r>
        <w:rPr>
          <w:rFonts w:hint="eastAsia"/>
          <w:lang w:val="x-none"/>
        </w:rPr>
        <w:t>I</w:t>
      </w:r>
      <w:r>
        <w:rPr>
          <w:lang w:val="x-none"/>
        </w:rPr>
        <w:t xml:space="preserve">n RAN4 specification, we have the following description for </w:t>
      </w:r>
      <w:r w:rsidRPr="00A1115A">
        <w:t>∆</w:t>
      </w:r>
      <w:proofErr w:type="spellStart"/>
      <w:r w:rsidRPr="00A1115A">
        <w:t>T</w:t>
      </w:r>
      <w:r w:rsidRPr="00A1115A">
        <w:rPr>
          <w:vertAlign w:val="subscript"/>
        </w:rPr>
        <w:t>RxSRS</w:t>
      </w:r>
      <w:proofErr w:type="spellEnd"/>
      <w:r>
        <w:t>:</w:t>
      </w:r>
    </w:p>
    <w:tbl>
      <w:tblPr>
        <w:tblStyle w:val="TableGrid"/>
        <w:tblW w:w="0" w:type="auto"/>
        <w:tblLook w:val="04A0" w:firstRow="1" w:lastRow="0" w:firstColumn="1" w:lastColumn="0" w:noHBand="0" w:noVBand="1"/>
      </w:tblPr>
      <w:tblGrid>
        <w:gridCol w:w="9631"/>
      </w:tblGrid>
      <w:tr w:rsidR="00003001" w:rsidTr="00003001">
        <w:tc>
          <w:tcPr>
            <w:tcW w:w="9631" w:type="dxa"/>
          </w:tcPr>
          <w:p w:rsidR="00003001" w:rsidRDefault="00003001" w:rsidP="00003001">
            <w:pPr>
              <w:pStyle w:val="B10"/>
              <w:ind w:leftChars="-41" w:left="202"/>
              <w:jc w:val="both"/>
            </w:pPr>
            <w:r w:rsidRPr="00A1115A">
              <w:t>The value of ∆</w:t>
            </w:r>
            <w:proofErr w:type="spellStart"/>
            <w:r w:rsidRPr="00A1115A">
              <w:t>T</w:t>
            </w:r>
            <w:r w:rsidRPr="00A1115A">
              <w:rPr>
                <w:vertAlign w:val="subscript"/>
              </w:rPr>
              <w:t>RxSRS</w:t>
            </w:r>
            <w:proofErr w:type="spellEnd"/>
            <w:r w:rsidRPr="00A1115A">
              <w:t xml:space="preserve"> is </w:t>
            </w:r>
            <w:r w:rsidRPr="00003001">
              <w:rPr>
                <w:highlight w:val="yellow"/>
              </w:rPr>
              <w:t xml:space="preserve">4.5dB for bands whose </w:t>
            </w:r>
            <w:proofErr w:type="spellStart"/>
            <w:r w:rsidRPr="00003001">
              <w:rPr>
                <w:highlight w:val="yellow"/>
              </w:rPr>
              <w:t>F</w:t>
            </w:r>
            <w:r w:rsidRPr="00003001">
              <w:rPr>
                <w:highlight w:val="yellow"/>
                <w:vertAlign w:val="subscript"/>
              </w:rPr>
              <w:t>UL_high</w:t>
            </w:r>
            <w:proofErr w:type="spellEnd"/>
            <w:r w:rsidRPr="00003001">
              <w:rPr>
                <w:highlight w:val="yellow"/>
                <w:vertAlign w:val="subscript"/>
              </w:rPr>
              <w:t xml:space="preserve"> </w:t>
            </w:r>
            <w:r w:rsidRPr="00003001">
              <w:rPr>
                <w:highlight w:val="yellow"/>
              </w:rPr>
              <w:t xml:space="preserve">is higher than the </w:t>
            </w:r>
            <w:proofErr w:type="spellStart"/>
            <w:r w:rsidRPr="00003001">
              <w:rPr>
                <w:highlight w:val="yellow"/>
              </w:rPr>
              <w:t>F</w:t>
            </w:r>
            <w:r w:rsidRPr="00003001">
              <w:rPr>
                <w:highlight w:val="yellow"/>
                <w:vertAlign w:val="subscript"/>
              </w:rPr>
              <w:t>UL_low</w:t>
            </w:r>
            <w:proofErr w:type="spellEnd"/>
            <w:r w:rsidRPr="00003001">
              <w:rPr>
                <w:highlight w:val="yellow"/>
                <w:vertAlign w:val="subscript"/>
              </w:rPr>
              <w:t xml:space="preserve"> </w:t>
            </w:r>
            <w:r w:rsidRPr="00003001">
              <w:rPr>
                <w:highlight w:val="yellow"/>
              </w:rPr>
              <w:t>of n79</w:t>
            </w:r>
            <w:r w:rsidRPr="00A1115A">
              <w:t xml:space="preserve"> and </w:t>
            </w:r>
            <w:r w:rsidRPr="00003001">
              <w:rPr>
                <w:highlight w:val="yellow"/>
              </w:rPr>
              <w:t xml:space="preserve">3 dB for bands whose </w:t>
            </w:r>
            <w:proofErr w:type="spellStart"/>
            <w:r w:rsidRPr="00003001">
              <w:rPr>
                <w:highlight w:val="yellow"/>
              </w:rPr>
              <w:t>F</w:t>
            </w:r>
            <w:r w:rsidRPr="00003001">
              <w:rPr>
                <w:highlight w:val="yellow"/>
                <w:vertAlign w:val="subscript"/>
              </w:rPr>
              <w:t>UL_high</w:t>
            </w:r>
            <w:proofErr w:type="spellEnd"/>
            <w:r w:rsidRPr="00003001" w:rsidDel="00411D7A">
              <w:rPr>
                <w:highlight w:val="yellow"/>
              </w:rPr>
              <w:t xml:space="preserve"> </w:t>
            </w:r>
            <w:r w:rsidRPr="00003001">
              <w:rPr>
                <w:highlight w:val="yellow"/>
              </w:rPr>
              <w:t xml:space="preserve">is lower than the </w:t>
            </w:r>
            <w:proofErr w:type="spellStart"/>
            <w:r w:rsidRPr="00003001">
              <w:rPr>
                <w:highlight w:val="yellow"/>
              </w:rPr>
              <w:t>F</w:t>
            </w:r>
            <w:r w:rsidRPr="00003001">
              <w:rPr>
                <w:highlight w:val="yellow"/>
                <w:vertAlign w:val="subscript"/>
              </w:rPr>
              <w:t>UL_low</w:t>
            </w:r>
            <w:proofErr w:type="spellEnd"/>
            <w:r w:rsidRPr="00003001" w:rsidDel="00411D7A">
              <w:rPr>
                <w:highlight w:val="yellow"/>
                <w:vertAlign w:val="subscript"/>
              </w:rPr>
              <w:t xml:space="preserve"> </w:t>
            </w:r>
            <w:r w:rsidRPr="00003001">
              <w:rPr>
                <w:highlight w:val="yellow"/>
              </w:rPr>
              <w:t>of n79</w:t>
            </w:r>
            <w:r w:rsidRPr="00A1115A">
              <w:t xml:space="preserve">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when UE indicating </w:t>
            </w:r>
            <w:r w:rsidRPr="00211509">
              <w:rPr>
                <w:i/>
                <w:iCs/>
              </w:rPr>
              <w:t>txDiversity-r16</w:t>
            </w:r>
            <w:r w:rsidRPr="00A60C41">
              <w:rPr>
                <w:strike/>
              </w:rPr>
              <w:t>.</w:t>
            </w:r>
            <w:r w:rsidRPr="00A1115A">
              <w:t xml:space="preserve">.  </w:t>
            </w:r>
          </w:p>
          <w:p w:rsidR="00003001" w:rsidRPr="00003001" w:rsidRDefault="00003001" w:rsidP="00003001">
            <w:pPr>
              <w:pStyle w:val="B10"/>
              <w:ind w:leftChars="-41" w:left="202"/>
              <w:jc w:val="both"/>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tc>
      </w:tr>
    </w:tbl>
    <w:p w:rsidR="00F8798A" w:rsidRDefault="00003001" w:rsidP="00003001">
      <w:pPr>
        <w:spacing w:beforeLines="50" w:before="120"/>
        <w:jc w:val="both"/>
      </w:pPr>
      <w:r>
        <w:rPr>
          <w:rFonts w:hint="eastAsia"/>
        </w:rPr>
        <w:t>F</w:t>
      </w:r>
      <w:r>
        <w:t xml:space="preserve">rom RAN4 spec, the boundary for the operating bands is selected as 4.9GHz, i.e. n79, but there is no limitation that the feature </w:t>
      </w:r>
      <w:r w:rsidR="00F8798A">
        <w:t>of</w:t>
      </w:r>
      <w:r>
        <w:t xml:space="preserve"> SRS antenna switching is only applicable for TDD bands. </w:t>
      </w:r>
      <w:r w:rsidR="00F8798A">
        <w:t>Though originally, considering the channel reciprocal characteristic, the feature is more suitable for TDD bands, but even in RAN1, there is no such limitation as well.</w:t>
      </w:r>
    </w:p>
    <w:p w:rsidR="00003001" w:rsidRPr="00003001" w:rsidRDefault="00F8798A" w:rsidP="00003001">
      <w:pPr>
        <w:spacing w:beforeLines="50" w:before="120"/>
        <w:jc w:val="both"/>
      </w:pPr>
      <w:r>
        <w:t xml:space="preserve">Considering the full channel information facilitate the accurate assessment of partial reciprocity, which enables the effective deployment of Rel-17 partial reciprocity codebook, SRS with usage of antenna swathing should also be supported for FDD bands. </w:t>
      </w:r>
    </w:p>
    <w:p w:rsidR="005369EE" w:rsidRPr="00F8798A" w:rsidRDefault="00F8798A" w:rsidP="006272FF">
      <w:pPr>
        <w:jc w:val="both"/>
        <w:rPr>
          <w:lang w:val="en-US"/>
        </w:rPr>
      </w:pPr>
      <w:r>
        <w:rPr>
          <w:lang w:val="en-US"/>
        </w:rPr>
        <w:t xml:space="preserve">Therefore, for the FFS issue on SRS antenna switching, we prefer no restriction for the feature applicable for TDD bands only. And in our view, there is no specific specification work needed for the raised issue. </w:t>
      </w:r>
    </w:p>
    <w:p w:rsidR="00167F84" w:rsidRPr="005369EE" w:rsidRDefault="00167F84" w:rsidP="006272FF">
      <w:pPr>
        <w:jc w:val="both"/>
        <w:rPr>
          <w:b/>
          <w:i/>
          <w:lang w:val="en-US" w:eastAsia="en-US"/>
        </w:rPr>
      </w:pPr>
      <w:r w:rsidRPr="005369EE">
        <w:rPr>
          <w:b/>
          <w:i/>
          <w:lang w:val="en-US" w:eastAsia="en-US"/>
        </w:rPr>
        <w:t>Proposal 1:</w:t>
      </w:r>
      <w:r w:rsidR="00F8798A">
        <w:rPr>
          <w:b/>
          <w:i/>
          <w:lang w:val="en-US" w:eastAsia="en-US"/>
        </w:rPr>
        <w:t xml:space="preserve"> No need to limit the feature of SRS antenna switching to TDD bands only</w:t>
      </w:r>
      <w:r w:rsidR="000C2FAF">
        <w:rPr>
          <w:b/>
          <w:i/>
          <w:lang w:val="en-US" w:eastAsia="en-US"/>
        </w:rPr>
        <w:t xml:space="preserve">. </w:t>
      </w:r>
    </w:p>
    <w:p w:rsidR="00A33E8E" w:rsidRDefault="00A33E8E" w:rsidP="006272FF">
      <w:pPr>
        <w:pStyle w:val="Heading1"/>
        <w:spacing w:after="240"/>
        <w:jc w:val="both"/>
        <w:rPr>
          <w:rFonts w:eastAsia="宋体"/>
          <w:lang w:eastAsia="zh-CN"/>
        </w:rPr>
      </w:pPr>
      <w:r>
        <w:rPr>
          <w:rFonts w:eastAsia="宋体" w:hint="eastAsia"/>
          <w:lang w:eastAsia="zh-CN"/>
        </w:rPr>
        <w:lastRenderedPageBreak/>
        <w:t>Conclusion</w:t>
      </w:r>
    </w:p>
    <w:p w:rsidR="00FC30F5" w:rsidRDefault="005369EE" w:rsidP="006272FF">
      <w:pPr>
        <w:jc w:val="both"/>
      </w:pPr>
      <w:r>
        <w:t xml:space="preserve">This contribution provides </w:t>
      </w:r>
      <w:r w:rsidR="000C2FAF">
        <w:t xml:space="preserve">our consideration for an FFS issue on SRS antenna switching for 4Rx in low bands. </w:t>
      </w:r>
    </w:p>
    <w:p w:rsidR="000C2FAF" w:rsidRPr="005369EE" w:rsidRDefault="000C2FAF" w:rsidP="000C2FAF">
      <w:pPr>
        <w:jc w:val="both"/>
        <w:rPr>
          <w:b/>
          <w:i/>
          <w:lang w:val="en-US" w:eastAsia="en-US"/>
        </w:rPr>
      </w:pPr>
      <w:r w:rsidRPr="005369EE">
        <w:rPr>
          <w:b/>
          <w:i/>
          <w:lang w:val="en-US" w:eastAsia="en-US"/>
        </w:rPr>
        <w:t>Proposal 1:</w:t>
      </w:r>
      <w:r>
        <w:rPr>
          <w:b/>
          <w:i/>
          <w:lang w:val="en-US" w:eastAsia="en-US"/>
        </w:rPr>
        <w:t xml:space="preserve"> No need to limit the feature of SRS antenna switching to TDD bands only. </w:t>
      </w: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665337" w:rsidRPr="00665337">
        <w:rPr>
          <w:lang w:eastAsia="ja-JP"/>
        </w:rPr>
        <w:t>R4-2303522</w:t>
      </w:r>
      <w:r w:rsidR="00355387">
        <w:rPr>
          <w:lang w:eastAsia="ja-JP"/>
        </w:rPr>
        <w:t xml:space="preserve">, </w:t>
      </w:r>
      <w:r w:rsidR="00665337" w:rsidRPr="00E178EB">
        <w:t>WF on 4Rx requirements for low operating bands</w:t>
      </w:r>
      <w:r w:rsidR="00665337">
        <w:t>, OPPO</w:t>
      </w:r>
    </w:p>
    <w:p w:rsidR="00355387" w:rsidRDefault="00355387" w:rsidP="006272FF">
      <w:pPr>
        <w:jc w:val="both"/>
      </w:pP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792" w:rsidRDefault="00717792" w:rsidP="0052762B">
      <w:r>
        <w:separator/>
      </w:r>
    </w:p>
  </w:endnote>
  <w:endnote w:type="continuationSeparator" w:id="0">
    <w:p w:rsidR="00717792" w:rsidRDefault="0071779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792" w:rsidRDefault="00717792" w:rsidP="0052762B">
      <w:r>
        <w:separator/>
      </w:r>
    </w:p>
  </w:footnote>
  <w:footnote w:type="continuationSeparator" w:id="0">
    <w:p w:rsidR="00717792" w:rsidRDefault="0071779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001"/>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AF"/>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641"/>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337"/>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792"/>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1109"/>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20"/>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98A"/>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FAF"/>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AD6F5-0C08-4D9C-A6E4-868B5F845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5</cp:revision>
  <cp:lastPrinted>2010-01-07T02:23:00Z</cp:lastPrinted>
  <dcterms:created xsi:type="dcterms:W3CDTF">2023-04-10T13:29:00Z</dcterms:created>
  <dcterms:modified xsi:type="dcterms:W3CDTF">2023-04-10T14:15:00Z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(3)RBxD0mq0gqo/ICPKJlr6ktUOunhPbWLIoHEN2VDeq5JjEL5oSrZB1xwr2QyQeGJfCUiwTIee
z4RRCNs27ud5EZVNwQNDzJYL7zpDdEIezYetYmt/+seV1jHxRerkN/73QVgWpqwcrtUsfUXf
vlRqhltCD9f06Gly5AgMsE9aAWCfLgSl2E41a2Fbjfu6lyrCyoLnMoZGza+QbhJK9WizvyKq
oWg9flX+LkrAcKzdup</vt:lpwstr>
  </property>
  <property fmtid="{D5CDD505-2E9C-101B-9397-08002B2CF9AE}" pid="15" name="_2015_ms_pID_725343_00">
    <vt:lpwstr>_2015_ms_pID_725343</vt:lpwstr>
  </property>
  <property fmtid="{D5CDD505-2E9C-101B-9397-08002B2CF9AE}" pid="16" name="_2015_ms_pID_7253431">
    <vt:lpwstr>BrXjs+cs8IObnhwFjfaYxwoyFmjAwsfGWOpav4fTkz/ds6KOkz/w7T
jXHBzevb4xmkUVl5Ga+wU/2lkalH9FsqUPb6n2vE8YmPeqrjMizD8Djo57o/J3g5DbALdLBy
+xv/DKJdlslHX1s9R3C/vSFPqAbCB8CYIaO2T5K/Gv/Kwqj4XnObedeu7O3O3nq11N0nnRPT
MhSH9pXOLMaD3dMIpimPK6zl9WWV0URaoWm4</vt:lpwstr>
  </property>
  <property fmtid="{D5CDD505-2E9C-101B-9397-08002B2CF9AE}" pid="17" name="_2015_ms_pID_7253431_00">
    <vt:lpwstr>_2015_ms_pID_7253431</vt:lpwstr>
  </property>
  <property fmtid="{D5CDD505-2E9C-101B-9397-08002B2CF9AE}" pid="18" name="_2015_ms_pID_7253432">
    <vt:lpwstr>La5PRQUzqAfOpYPqIFAWypk=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